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8" w:type="dxa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815"/>
        <w:gridCol w:w="1815"/>
        <w:gridCol w:w="1815"/>
        <w:gridCol w:w="1818"/>
      </w:tblGrid>
      <w:tr w:rsidR="00DE0A45">
        <w:trPr>
          <w:trHeight w:hRule="exact" w:val="2103"/>
        </w:trPr>
        <w:tc>
          <w:tcPr>
            <w:tcW w:w="8898" w:type="dxa"/>
            <w:gridSpan w:val="5"/>
          </w:tcPr>
          <w:p w:rsidR="00DE0A45" w:rsidRDefault="006519F6">
            <w:pPr>
              <w:pStyle w:val="Iioaioo"/>
              <w:keepLines w:val="0"/>
              <w:widowControl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 wp14:anchorId="0F739D29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-749300</wp:posOffset>
                      </wp:positionV>
                      <wp:extent cx="2286000" cy="45085"/>
                      <wp:effectExtent l="0" t="0" r="0" b="0"/>
                      <wp:wrapNone/>
                      <wp:docPr id="1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0" cy="4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E0A45" w:rsidRDefault="00DE0A45">
                                  <w:pPr>
                                    <w:pStyle w:val="af1"/>
                                    <w:widowControl w:val="0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shape_0" ID="Надпись 3" path="m0,0l-2147483645,0l-2147483645,-2147483646l0,-2147483646xe" fillcolor="white" stroked="f" o:allowincell="f" style="position:absolute;margin-left:278.65pt;margin-top:-59.05pt;width:179.95pt;height:3.5pt;flip:y;mso-wrap-style:none;v-text-anchor:middle" wp14:anchorId="0F739D29"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6"/>
                              <w:widowControl w:val="false"/>
                              <w:rPr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Cs w:val="28"/>
              </w:rPr>
              <w:t>АДМИНИСТРАЦИЯ</w:t>
            </w:r>
          </w:p>
          <w:p w:rsidR="00DE0A45" w:rsidRDefault="006519F6">
            <w:pPr>
              <w:pStyle w:val="Iioaioo"/>
              <w:keepLines w:val="0"/>
              <w:widowControl w:val="0"/>
              <w:tabs>
                <w:tab w:val="left" w:pos="2977"/>
              </w:tabs>
              <w:spacing w:before="0" w:after="0" w:line="276" w:lineRule="auto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E0A45" w:rsidRDefault="006519F6">
            <w:pPr>
              <w:pStyle w:val="Iioaioo"/>
              <w:keepLines w:val="0"/>
              <w:widowControl w:val="0"/>
              <w:tabs>
                <w:tab w:val="left" w:pos="2977"/>
              </w:tabs>
              <w:spacing w:before="0" w:after="480" w:line="276" w:lineRule="auto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E0A45" w:rsidRDefault="006519F6">
            <w:pPr>
              <w:pStyle w:val="11"/>
              <w:widowControl w:val="0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DE0A45" w:rsidRDefault="00DE0A45">
            <w:pPr>
              <w:pStyle w:val="1"/>
              <w:widowControl w:val="0"/>
              <w:rPr>
                <w:spacing w:val="180"/>
                <w:sz w:val="44"/>
                <w:lang w:val="ru-RU" w:eastAsia="ru-RU"/>
              </w:rPr>
            </w:pPr>
          </w:p>
        </w:tc>
      </w:tr>
      <w:tr w:rsidR="00DE0A45">
        <w:tc>
          <w:tcPr>
            <w:tcW w:w="1635" w:type="dxa"/>
            <w:tcBorders>
              <w:bottom w:val="single" w:sz="4" w:space="0" w:color="000000"/>
            </w:tcBorders>
          </w:tcPr>
          <w:p w:rsidR="00DE0A45" w:rsidRDefault="00BC419A">
            <w:pPr>
              <w:widowControl w:val="0"/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03.05.2023</w:t>
            </w:r>
          </w:p>
        </w:tc>
        <w:tc>
          <w:tcPr>
            <w:tcW w:w="1815" w:type="dxa"/>
          </w:tcPr>
          <w:p w:rsidR="00DE0A45" w:rsidRDefault="00DE0A45">
            <w:pPr>
              <w:widowControl w:val="0"/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E0A45" w:rsidRDefault="00DE0A45">
            <w:pPr>
              <w:widowControl w:val="0"/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E0A45" w:rsidRDefault="006519F6">
            <w:pPr>
              <w:widowControl w:val="0"/>
              <w:tabs>
                <w:tab w:val="left" w:pos="276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DE0A45" w:rsidRDefault="00BC419A">
            <w:pPr>
              <w:widowControl w:val="0"/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249</w:t>
            </w:r>
          </w:p>
        </w:tc>
      </w:tr>
      <w:tr w:rsidR="00DE0A45" w:rsidTr="00181DE4">
        <w:trPr>
          <w:trHeight w:val="11590"/>
        </w:trPr>
        <w:tc>
          <w:tcPr>
            <w:tcW w:w="8898" w:type="dxa"/>
            <w:gridSpan w:val="5"/>
          </w:tcPr>
          <w:p w:rsidR="00DE0A45" w:rsidRDefault="006519F6">
            <w:pPr>
              <w:widowControl w:val="0"/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  <w:p w:rsidR="00DE0A45" w:rsidRDefault="00DE0A45">
            <w:pPr>
              <w:widowControl w:val="0"/>
              <w:tabs>
                <w:tab w:val="left" w:pos="2765"/>
              </w:tabs>
              <w:spacing w:after="360"/>
              <w:ind w:left="497" w:right="497"/>
              <w:jc w:val="center"/>
              <w:rPr>
                <w:b/>
                <w:szCs w:val="28"/>
              </w:rPr>
            </w:pPr>
          </w:p>
          <w:p w:rsidR="00DE0A45" w:rsidRDefault="00181DE4" w:rsidP="00181DE4">
            <w:pPr>
              <w:widowControl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 xml:space="preserve">Об утверждении </w:t>
            </w:r>
            <w:r w:rsidR="006519F6">
              <w:rPr>
                <w:rFonts w:eastAsiaTheme="minorHAnsi"/>
                <w:b/>
                <w:bCs/>
                <w:szCs w:val="28"/>
                <w:lang w:eastAsia="en-US"/>
              </w:rPr>
              <w:t xml:space="preserve">Положения о проведении аттестации муниципальных служащих Мурашинского муниципального округа  </w:t>
            </w:r>
          </w:p>
          <w:p w:rsidR="00DE0A45" w:rsidRDefault="00DE0A45">
            <w:pPr>
              <w:widowControl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 соответствии с Федеральным </w:t>
            </w:r>
            <w:hyperlink r:id="rId7">
              <w:r>
                <w:rPr>
                  <w:rFonts w:eastAsiaTheme="minorHAnsi"/>
                  <w:szCs w:val="28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от 02.03.2007 N 25-ФЗ "О муниципальной службе в Российской Федерации" и </w:t>
            </w:r>
            <w:hyperlink r:id="rId8">
              <w:r>
                <w:rPr>
                  <w:rFonts w:eastAsiaTheme="minorHAnsi"/>
                  <w:szCs w:val="28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Кировской области от 08.10.2007 N 171-ЗО "О муниципальной службе в Кировской области", </w:t>
            </w:r>
            <w:hyperlink r:id="rId9">
              <w:r>
                <w:rPr>
                  <w:rFonts w:eastAsiaTheme="minorHAnsi"/>
                  <w:szCs w:val="28"/>
                  <w:lang w:eastAsia="en-US"/>
                </w:rPr>
                <w:t>Уставом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муниципального образования Мурашинский  муниципальный округ Кировской области администрация Мурашинского  муниципального округа постановляет:</w:t>
            </w:r>
          </w:p>
          <w:p w:rsidR="00DE0A45" w:rsidRDefault="006519F6" w:rsidP="00181DE4">
            <w:pPr>
              <w:pStyle w:val="af"/>
              <w:widowControl w:val="0"/>
              <w:numPr>
                <w:ilvl w:val="0"/>
                <w:numId w:val="2"/>
              </w:numPr>
              <w:spacing w:line="360" w:lineRule="auto"/>
              <w:ind w:left="0"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Утвердить </w:t>
            </w:r>
            <w:hyperlink r:id="rId10">
              <w:r>
                <w:rPr>
                  <w:rFonts w:eastAsiaTheme="minorHAnsi"/>
                  <w:szCs w:val="28"/>
                  <w:lang w:eastAsia="en-US"/>
                </w:rPr>
                <w:t>Положение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о проведении аттестации муниципальных служащих Мурашинского муниципального округа согласно приложению.</w:t>
            </w:r>
          </w:p>
          <w:p w:rsidR="00DE0A45" w:rsidRDefault="006519F6" w:rsidP="00181DE4">
            <w:pPr>
              <w:pStyle w:val="af"/>
              <w:widowControl w:val="0"/>
              <w:numPr>
                <w:ilvl w:val="0"/>
                <w:numId w:val="2"/>
              </w:numPr>
              <w:spacing w:line="360" w:lineRule="auto"/>
              <w:ind w:left="0"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Контроль за исполнением настоящего постановления   возложить на управляющего делами администрации муниципального округа.</w:t>
            </w:r>
          </w:p>
          <w:p w:rsidR="00DE0A45" w:rsidRDefault="006519F6" w:rsidP="00181DE4">
            <w:pPr>
              <w:pStyle w:val="af"/>
              <w:widowControl w:val="0"/>
              <w:numPr>
                <w:ilvl w:val="0"/>
                <w:numId w:val="2"/>
              </w:numPr>
              <w:spacing w:line="360" w:lineRule="auto"/>
              <w:ind w:left="0"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Настоящее постановление вступает в силу с момента его официального опубликования.</w:t>
            </w:r>
          </w:p>
          <w:p w:rsidR="00DE0A45" w:rsidRDefault="00DE0A45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 w:rsidP="00181DE4">
            <w:pPr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Глава муниципального округа                                                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С.И.Рябинин</w:t>
            </w:r>
            <w:proofErr w:type="spellEnd"/>
          </w:p>
          <w:p w:rsidR="00181DE4" w:rsidRPr="00181DE4" w:rsidRDefault="00181DE4" w:rsidP="00181DE4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____________________________________________________________________________________________________________</w:t>
            </w:r>
          </w:p>
          <w:p w:rsidR="00DE0A45" w:rsidRDefault="00DE0A45" w:rsidP="00181DE4">
            <w:pPr>
              <w:widowControl w:val="0"/>
              <w:ind w:firstLine="54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 w:rsidP="00181DE4">
            <w:pPr>
              <w:widowControl w:val="0"/>
              <w:ind w:firstLine="54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181DE4" w:rsidRDefault="00181DE4" w:rsidP="00181DE4">
            <w:pPr>
              <w:widowControl w:val="0"/>
              <w:ind w:left="4782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Приложение</w:t>
            </w:r>
          </w:p>
          <w:p w:rsidR="00181DE4" w:rsidRDefault="00181DE4" w:rsidP="00181DE4">
            <w:pPr>
              <w:widowControl w:val="0"/>
              <w:ind w:left="4782"/>
              <w:rPr>
                <w:rFonts w:eastAsiaTheme="minorHAnsi"/>
                <w:szCs w:val="28"/>
                <w:lang w:eastAsia="en-US"/>
              </w:rPr>
            </w:pPr>
          </w:p>
          <w:p w:rsidR="00DE0A45" w:rsidRDefault="00181DE4" w:rsidP="00181DE4">
            <w:pPr>
              <w:widowControl w:val="0"/>
              <w:ind w:left="4782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УТВЕРЖДЕНО</w:t>
            </w:r>
          </w:p>
          <w:p w:rsidR="00DE0A45" w:rsidRDefault="006519F6" w:rsidP="00181DE4">
            <w:pPr>
              <w:widowControl w:val="0"/>
              <w:ind w:left="4782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                                                            постановлением администрации</w:t>
            </w:r>
          </w:p>
          <w:p w:rsidR="00DE0A45" w:rsidRDefault="006519F6" w:rsidP="00181DE4">
            <w:pPr>
              <w:widowControl w:val="0"/>
              <w:ind w:left="4782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Мурашинского муниципального округа</w:t>
            </w:r>
            <w:r w:rsidR="00181DE4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от </w:t>
            </w:r>
            <w:r w:rsidR="00BC419A">
              <w:rPr>
                <w:rFonts w:eastAsiaTheme="minorHAnsi"/>
                <w:szCs w:val="28"/>
                <w:lang w:eastAsia="en-US"/>
              </w:rPr>
              <w:t>03.05.2023</w:t>
            </w:r>
            <w:r>
              <w:rPr>
                <w:rFonts w:eastAsiaTheme="minorHAnsi"/>
                <w:szCs w:val="28"/>
                <w:lang w:eastAsia="en-US"/>
              </w:rPr>
              <w:t xml:space="preserve"> г. </w:t>
            </w:r>
            <w:r w:rsidR="00BC419A">
              <w:rPr>
                <w:rFonts w:eastAsiaTheme="minorHAnsi"/>
                <w:szCs w:val="28"/>
                <w:lang w:eastAsia="en-US"/>
              </w:rPr>
              <w:t>№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C419A">
              <w:rPr>
                <w:rFonts w:eastAsiaTheme="minorHAnsi"/>
                <w:szCs w:val="28"/>
                <w:lang w:eastAsia="en-US"/>
              </w:rPr>
              <w:t>249</w:t>
            </w:r>
          </w:p>
          <w:p w:rsidR="00DE0A45" w:rsidRDefault="00DE0A45">
            <w:pPr>
              <w:widowControl w:val="0"/>
              <w:jc w:val="both"/>
              <w:outlineLvl w:val="0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DE0A45" w:rsidRDefault="006519F6" w:rsidP="00181DE4">
            <w:pPr>
              <w:widowControl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ПОЛОЖЕНИЕ</w:t>
            </w:r>
          </w:p>
          <w:p w:rsidR="00DE0A45" w:rsidRDefault="006519F6" w:rsidP="00181DE4">
            <w:pPr>
              <w:widowControl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О ПРОВЕДЕНИИ АТТЕСТАЦИИ МУНИЦИПАЛЬНЫХ СЛУЖАЩИХ МУРАШИНСКОГО МУНИЦИПАЛЬНОГО ОКРУГА</w:t>
            </w:r>
          </w:p>
          <w:p w:rsidR="00DE0A45" w:rsidRDefault="00DE0A45">
            <w:pPr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 w:rsidP="00181DE4">
            <w:pPr>
              <w:widowControl w:val="0"/>
              <w:spacing w:line="360" w:lineRule="auto"/>
              <w:jc w:val="center"/>
              <w:outlineLvl w:val="0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Раздел I</w:t>
            </w:r>
          </w:p>
          <w:p w:rsidR="00DE0A45" w:rsidRDefault="00DE0A45" w:rsidP="00181DE4">
            <w:pPr>
              <w:widowControl w:val="0"/>
              <w:spacing w:line="360" w:lineRule="auto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DE0A45" w:rsidRDefault="006519F6" w:rsidP="00181DE4">
            <w:pPr>
              <w:widowControl w:val="0"/>
              <w:spacing w:line="360" w:lineRule="auto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ОБЩИЕ ПОЛОЖЕНИЯ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1. Настоящим Положением в соответствии со </w:t>
            </w:r>
            <w:hyperlink r:id="rId11">
              <w:r>
                <w:rPr>
                  <w:rFonts w:eastAsiaTheme="minorHAnsi"/>
                  <w:szCs w:val="28"/>
                  <w:lang w:eastAsia="en-US"/>
                </w:rPr>
                <w:t>статьей 18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Федерального закона от 2 марта 2007 года N 25-ФЗ "О муниципальной службе в Российской Федерации" определяется порядок проведения аттестации муниципальных служащих Мурашинского  муниципального округа (далее - муниципальные служащие), замещающих должности муниципальной службы в органах местного самоуправления муниципального образования Мурашинский  муниципальный округ (далее - органы местного самоуправления), которые образованы в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соответствии с </w:t>
            </w:r>
            <w:hyperlink r:id="rId12">
              <w:r>
                <w:rPr>
                  <w:rFonts w:eastAsiaTheme="minorHAnsi"/>
                  <w:szCs w:val="28"/>
                  <w:lang w:eastAsia="en-US"/>
                </w:rPr>
                <w:t>Уставом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муниципального образования Мурашинский  муниципальный округ.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 Аттестации не подлежат следующие муниципальные служащие: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а) замещающие должности муниципальной службы менее одного года;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б) достигшие возраста 60 лет;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в) беременные женщины;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д) замещающие должности муниципальной службы на основании срочного трудового договора (контракта).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4. Аттестация муниципального служащего проводится один раз в три года.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5. Муниципальные служащие, принятые впервые (или вновь) на муниципальную службу, подлежат аттестации по истечении года нахождения на муниципальной службе.</w:t>
            </w:r>
          </w:p>
          <w:p w:rsidR="00DE0A45" w:rsidRDefault="00DE0A45" w:rsidP="00181DE4">
            <w:pPr>
              <w:widowControl w:val="0"/>
              <w:spacing w:line="360" w:lineRule="auto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 w:rsidP="00181DE4">
            <w:pPr>
              <w:widowControl w:val="0"/>
              <w:spacing w:line="360" w:lineRule="auto"/>
              <w:jc w:val="center"/>
              <w:outlineLvl w:val="0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Раздел II</w:t>
            </w:r>
          </w:p>
          <w:p w:rsidR="00DE0A45" w:rsidRDefault="00DE0A45" w:rsidP="00181DE4">
            <w:pPr>
              <w:widowControl w:val="0"/>
              <w:spacing w:line="360" w:lineRule="auto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DE0A45" w:rsidRDefault="006519F6" w:rsidP="00181DE4">
            <w:pPr>
              <w:widowControl w:val="0"/>
              <w:spacing w:line="360" w:lineRule="auto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ОРГАНИЗАЦИЯ ПРОВЕДЕНИЯ АТТЕСТАЦИИ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1. Для проведения аттестации муниципальных служащих  издается распоряжение администрации Мурашинского  муниципального округа,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lastRenderedPageBreak/>
              <w:t>содержащий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положения: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а) о формировании аттестационной комиссии;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б) об утверждении графика проведения аттестации;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в) о составлении списков муниципальных служащих, подлежащих аттестации;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г) о подготовке документов, необходимых для работы аттестационной комиссии.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 Аттестационная комиссия формируется распоряжением  администрации Мурашинского муниципального округа. Указанным актом определяются состав аттестационной комиссии, сроки и порядок ее работы.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 состав аттестационной комиссии включаются представитель нанимателя и (или) уполномоченные им муниципальные служащие (в том числе  управляющий делами администрации  муниципального округа, главный специалист  по кадровой работе юридического отдела администрации муниципального округа, руководители управлений, отделов и секторов администрации муниципального округа, в которых муниципальный служащий, подлежащий аттестации, замещает должность муниципальной службы), депутаты Думы  Мурашинского  муниципального округа, а также представители научных и образовательных организаций, других организаций, приглашаемые администрацией Мурашинского  муниципального округа, по запросу главы Мурашинского муниципального округа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      </w:r>
          </w:p>
          <w:p w:rsidR="00DE0A45" w:rsidRDefault="006519F6" w:rsidP="00181DE4">
            <w:pPr>
              <w:widowControl w:val="0"/>
              <w:spacing w:line="360" w:lineRule="auto"/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4. График проведения аттестации ежегодно утверждается главой Мурашинского  муниципального округа  в форме распоряжения  администрации муниципального округа и доводится до сведения каждого аттестуемого муниципального служащего не менее чем за месяц до начала аттестации.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5. В графике проведения аттестации указываются: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а) наименование органа местного самоуправления, подразделения, в которых проводится аттестация;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б) список муниципальных служащих, подлежащих аттестации;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в) дата, время и место проведения аттестации;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самоуправления, избирательной комиссии.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6. Не позднее чем за две недели до начала аттестации в аттестационную комиссию представляется отзыв о профессиональной деятельности подлежащего аттестации муниципального служащего за аттестационный период, подписанный его непосредственным руководителем и утвержденный вышестоящим руководителем.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7. Отзыв, предусмотренный пунктом 6 раздела II настоящего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Положения, должен содержать следующие сведения о муниципальном служащем: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а) фамилия, имя, отчество;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б) замещаемая должность муниципальной службы на момент проведения аттестации и дата назначения на эту должность;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в) перечень основных вопросов (документов), в решении (разработке) которых муниципальный служащий принимал участие;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г) мотивированная оценка профессиональных, личностных качеств и результатов профессиональной деятельности муниципального служащего.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9. Секретарь аттестационной комиссии не менее чем за неделю до начала аттестации должен ознакомить каждого аттестуемого муниципального служащего с представленным отзывом о его профессиональной деятельности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      </w:r>
          </w:p>
          <w:p w:rsidR="00DE0A45" w:rsidRDefault="00DE0A45" w:rsidP="00181DE4">
            <w:pPr>
              <w:widowControl w:val="0"/>
              <w:spacing w:line="360" w:lineRule="auto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 w:rsidP="00181DE4">
            <w:pPr>
              <w:widowControl w:val="0"/>
              <w:spacing w:line="360" w:lineRule="auto"/>
              <w:jc w:val="center"/>
              <w:outlineLvl w:val="0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Раздел III</w:t>
            </w:r>
          </w:p>
          <w:p w:rsidR="00DE0A45" w:rsidRDefault="00DE0A45" w:rsidP="00181DE4">
            <w:pPr>
              <w:widowControl w:val="0"/>
              <w:spacing w:line="360" w:lineRule="auto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DE0A45" w:rsidRDefault="006519F6" w:rsidP="00181DE4">
            <w:pPr>
              <w:widowControl w:val="0"/>
              <w:spacing w:line="360" w:lineRule="auto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lastRenderedPageBreak/>
              <w:t>ПРОВЕДЕНИЕ АТТЕСТАЦИИ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 Заседание аттестационной комиссии считается правомочным, если на нем присутствует не менее двух третей ее членов.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5. По результатам аттестации муниципального служащего аттестационной комиссией принимается одно из следующих решений: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а) соответствует замещаемой должности муниципальной службы;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б) не соответствует замещаемой должности муниципальной службы.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6. Результаты аттестации сообщаются аттестованным муниципальным служащим непосредственно после подведения итогов голосования.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Результаты аттестации заносятся в аттестационный </w:t>
            </w:r>
            <w:hyperlink w:anchor="Par100">
              <w:r>
                <w:rPr>
                  <w:rFonts w:eastAsiaTheme="minorHAnsi"/>
                  <w:color w:val="0000FF"/>
                  <w:szCs w:val="28"/>
                  <w:lang w:eastAsia="en-US"/>
                </w:rPr>
                <w:t>лист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Муниципальный служащий знакомится с аттестационным листом под роспись.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Аттестационный лист муниципального служащего, прошедшего аттестацию, и отзыв о его профессиональной деятельности за аттестационный период хранятся в личном деле муниципального служащего.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7. Аттестационная комиссия может давать рекомендации: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а) о поощрении отдельных муниципальных служащих за достигнутые ими успехи в работе, в том числе о повышении их в должности;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б) об улучшении деятельности аттестуемых муниципальных служащих;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в) о направлении отдельных муниципальных служащих для получения дополнительного профессионального образования.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8. Материалы аттестации муниципальных служащих представляются представителю нанимателя не позднее чем через семь дней после ее проведения.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9. В течение одного месяца после проведения аттестации по ее результатам принимается решение представителя нанимателя о том, что муниципальный служащий: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а) может быть включен в установленном порядке в кадровый резерв для замещения вакантной должности муниципальной службы в порядке должностного роста;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б) направляется для получения дополнительного профессионального образования;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в) поощряется за достигнутые успехи в работе;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г) понижается в должности муниципальной службы (с его согласия).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11.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      </w:r>
          </w:p>
          <w:p w:rsidR="00DE0A45" w:rsidRDefault="006519F6" w:rsidP="00181DE4">
            <w:pPr>
              <w:widowControl w:val="0"/>
              <w:spacing w:line="360" w:lineRule="auto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12. Муниципальный служащий вправе обжаловать результаты аттестации в судебном порядке.</w:t>
            </w:r>
          </w:p>
          <w:p w:rsidR="00DE0A45" w:rsidRDefault="00DE0A45">
            <w:pPr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bookmarkStart w:id="0" w:name="_GoBack"/>
            <w:bookmarkEnd w:id="0"/>
          </w:p>
          <w:p w:rsidR="009B0DC9" w:rsidRDefault="009B0DC9">
            <w:pPr>
              <w:widowControl w:val="0"/>
              <w:jc w:val="center"/>
              <w:outlineLvl w:val="0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 w:rsidP="009B0DC9">
            <w:pPr>
              <w:widowControl w:val="0"/>
              <w:ind w:left="4640"/>
              <w:outlineLvl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Приложение</w:t>
            </w:r>
          </w:p>
          <w:p w:rsidR="00DE0A45" w:rsidRDefault="009B0DC9" w:rsidP="009B0DC9">
            <w:pPr>
              <w:widowControl w:val="0"/>
              <w:ind w:left="464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 Положению </w:t>
            </w:r>
            <w:r w:rsidR="006519F6">
              <w:rPr>
                <w:rFonts w:eastAsiaTheme="minorHAnsi"/>
                <w:szCs w:val="28"/>
                <w:lang w:eastAsia="en-US"/>
              </w:rPr>
              <w:t>об аттестации муниципальных служащих</w:t>
            </w:r>
          </w:p>
          <w:p w:rsidR="00DE0A45" w:rsidRDefault="006519F6" w:rsidP="009B0DC9">
            <w:pPr>
              <w:widowControl w:val="0"/>
              <w:ind w:left="4640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Мурашинского муниципального округа</w:t>
            </w:r>
            <w:r w:rsidR="009B0DC9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ascii="Courier New" w:eastAsiaTheme="minorHAnsi" w:hAnsi="Courier New" w:cs="Courier New"/>
                <w:sz w:val="20"/>
                <w:lang w:val="ru-RU"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АТТЕСТАЦИОННЫЙ ЛИСТ</w:t>
            </w:r>
          </w:p>
          <w:p w:rsidR="00DE0A45" w:rsidRDefault="006519F6">
            <w:pPr>
              <w:pStyle w:val="1"/>
              <w:keepNext w:val="0"/>
              <w:widowControl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МУНИЦИПАЛЬНОГО СЛУЖАЩЕГО</w:t>
            </w:r>
          </w:p>
          <w:p w:rsidR="00DE0A45" w:rsidRDefault="006519F6">
            <w:pPr>
              <w:pStyle w:val="1"/>
              <w:keepNext w:val="0"/>
              <w:widowControl w:val="0"/>
              <w:jc w:val="center"/>
              <w:rPr>
                <w:rFonts w:ascii="Courier New" w:eastAsiaTheme="minorHAnsi" w:hAnsi="Courier New" w:cs="Courier New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 xml:space="preserve">МУРАШИНСКОГО </w:t>
            </w:r>
            <w:r>
              <w:rPr>
                <w:rFonts w:eastAsiaTheme="minorHAnsi"/>
                <w:szCs w:val="28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szCs w:val="28"/>
                <w:lang w:val="ru-RU" w:eastAsia="en-US"/>
              </w:rPr>
              <w:t>ОКРУГА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ascii="Courier New" w:eastAsiaTheme="minorHAnsi" w:hAnsi="Courier New" w:cs="Courier New"/>
                <w:szCs w:val="28"/>
                <w:lang w:eastAsia="en-US"/>
              </w:rPr>
            </w:pP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ascii="Courier New" w:eastAsiaTheme="minorHAnsi" w:hAnsi="Courier New" w:cs="Courier New"/>
                <w:sz w:val="20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numPr>
                <w:ilvl w:val="0"/>
                <w:numId w:val="1"/>
              </w:numPr>
              <w:jc w:val="both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Фамилия имя отчество____________________________________</w:t>
            </w:r>
            <w:r>
              <w:rPr>
                <w:rFonts w:eastAsiaTheme="minorHAnsi"/>
                <w:szCs w:val="28"/>
                <w:lang w:val="ru-RU" w:eastAsia="en-US"/>
              </w:rPr>
              <w:t xml:space="preserve">___ </w:t>
            </w:r>
          </w:p>
          <w:p w:rsidR="00DE0A45" w:rsidRDefault="006519F6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2. Год, число и месяц рождения</w:t>
            </w:r>
            <w:r>
              <w:rPr>
                <w:rFonts w:eastAsiaTheme="minorHAnsi"/>
                <w:szCs w:val="28"/>
                <w:lang w:val="ru-RU"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_________________________________</w:t>
            </w:r>
            <w:r>
              <w:rPr>
                <w:rFonts w:eastAsiaTheme="minorHAnsi"/>
                <w:szCs w:val="28"/>
                <w:lang w:val="ru-RU" w:eastAsia="en-US"/>
              </w:rPr>
              <w:t>_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3. Сведения  о профессиональном  образовании,  наличии  ученой степени,</w:t>
            </w:r>
            <w:r>
              <w:rPr>
                <w:rFonts w:eastAsiaTheme="minorHAnsi"/>
                <w:szCs w:val="28"/>
                <w:lang w:val="ru-RU"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ученого звания_________________________________________</w:t>
            </w:r>
            <w:r>
              <w:rPr>
                <w:rFonts w:eastAsiaTheme="minorHAnsi"/>
                <w:szCs w:val="28"/>
                <w:lang w:val="ru-RU" w:eastAsia="en-US"/>
              </w:rPr>
              <w:t>__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                 </w:t>
            </w:r>
            <w:r>
              <w:rPr>
                <w:rFonts w:eastAsiaTheme="minorHAnsi"/>
                <w:szCs w:val="28"/>
                <w:lang w:val="ru-RU" w:eastAsia="en-US"/>
              </w:rPr>
              <w:t xml:space="preserve">       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(когда и какое учебное заведение окончил, специальность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</w:t>
            </w:r>
            <w:r>
              <w:rPr>
                <w:rFonts w:eastAsiaTheme="minorHAnsi"/>
                <w:szCs w:val="28"/>
                <w:lang w:val="ru-RU" w:eastAsia="en-US"/>
              </w:rPr>
              <w:t>_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квалификация по образованию, ученая степень, ученое звание)</w:t>
            </w:r>
          </w:p>
          <w:p w:rsidR="00DE0A45" w:rsidRDefault="006519F6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4. Замещаемая  должность муниципальной  службы  на  момент аттестации и</w:t>
            </w:r>
            <w:r>
              <w:rPr>
                <w:rFonts w:eastAsiaTheme="minorHAnsi"/>
                <w:szCs w:val="28"/>
                <w:lang w:val="ru-RU"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дата назначения на эту должность __________________________________________</w:t>
            </w:r>
            <w:r>
              <w:rPr>
                <w:rFonts w:eastAsiaTheme="minorHAnsi"/>
                <w:szCs w:val="28"/>
                <w:lang w:val="ru-RU" w:eastAsia="en-US"/>
              </w:rPr>
              <w:t>_____________________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___________________________________________________________________________</w:t>
            </w:r>
            <w:r>
              <w:rPr>
                <w:rFonts w:eastAsiaTheme="minorHAnsi"/>
                <w:szCs w:val="28"/>
                <w:lang w:val="ru-RU" w:eastAsia="en-US"/>
              </w:rPr>
              <w:t>___________________________________________________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5. Стаж  муниципальной службы (в том числе стаж государственной службы)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___________________________________________________________________________</w:t>
            </w:r>
            <w:r>
              <w:rPr>
                <w:rFonts w:eastAsiaTheme="minorHAnsi"/>
                <w:szCs w:val="28"/>
                <w:lang w:val="ru-RU" w:eastAsia="en-US"/>
              </w:rPr>
              <w:t>___________________________________________________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6. Общий трудовой стаж _______________________________________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7. Вопросы к муниципальному служащему и краткие ответы на них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___________________________________________________________________________</w:t>
            </w:r>
            <w:r>
              <w:rPr>
                <w:rFonts w:eastAsiaTheme="minorHAnsi"/>
                <w:szCs w:val="28"/>
                <w:lang w:val="ru-RU" w:eastAsia="en-US"/>
              </w:rPr>
              <w:t>___________________________________________________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___________________________________________________________________________</w:t>
            </w:r>
            <w:r>
              <w:rPr>
                <w:rFonts w:eastAsiaTheme="minorHAnsi"/>
                <w:szCs w:val="28"/>
                <w:lang w:val="ru-RU" w:eastAsia="en-US"/>
              </w:rPr>
              <w:t xml:space="preserve">___________________________________________________ </w:t>
            </w:r>
          </w:p>
          <w:p w:rsidR="00DE0A45" w:rsidRDefault="006519F6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_______________________________________________________________ </w:t>
            </w:r>
          </w:p>
          <w:p w:rsidR="00DE0A45" w:rsidRDefault="006519F6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_______________________________________________________________ 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8. Замечания и предложения, высказанные аттестационной комиссией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___________________________________________________________________________</w:t>
            </w:r>
            <w:r>
              <w:rPr>
                <w:rFonts w:eastAsiaTheme="minorHAnsi"/>
                <w:szCs w:val="28"/>
                <w:lang w:val="ru-RU" w:eastAsia="en-US"/>
              </w:rPr>
              <w:t>___________________________________________________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___________________________________________________________________________</w:t>
            </w:r>
            <w:r>
              <w:rPr>
                <w:rFonts w:eastAsiaTheme="minorHAnsi"/>
                <w:szCs w:val="28"/>
                <w:lang w:val="ru-RU" w:eastAsia="en-US"/>
              </w:rPr>
              <w:t>___________________________________________________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9.  Краткая  оценка  выполнения  муниципальным  служащим   рекомендаций</w:t>
            </w:r>
            <w:r>
              <w:rPr>
                <w:rFonts w:eastAsiaTheme="minorHAnsi"/>
                <w:szCs w:val="28"/>
                <w:lang w:val="ru-RU"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предыдущей аттестации _____________________________________________________</w:t>
            </w:r>
            <w:r>
              <w:rPr>
                <w:rFonts w:eastAsiaTheme="minorHAnsi"/>
                <w:szCs w:val="28"/>
                <w:lang w:val="ru-RU" w:eastAsia="en-US"/>
              </w:rPr>
              <w:t>__________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(выполнены, выполнены частично, не выполнены)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10. Решение аттестационной комиссии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(соответствует замещаемой должности муниципальной службы;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не соответствует замещаемой должности муниципальной службы)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11. Количественный состав аттестационной комиссии </w:t>
            </w:r>
            <w:r>
              <w:rPr>
                <w:rFonts w:eastAsiaTheme="minorHAnsi"/>
                <w:szCs w:val="28"/>
                <w:lang w:val="ru-RU" w:eastAsia="en-US"/>
              </w:rPr>
              <w:t>_______________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На  заседании  присутствовало _______ членов  аттестационной 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комиссии.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Количество голосов за _____, против ______.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12. Примечания </w:t>
            </w:r>
            <w:r>
              <w:rPr>
                <w:rFonts w:eastAsiaTheme="minorHAnsi"/>
                <w:szCs w:val="28"/>
                <w:lang w:val="ru-RU" w:eastAsia="en-US"/>
              </w:rPr>
              <w:t xml:space="preserve">      </w:t>
            </w:r>
            <w:r>
              <w:rPr>
                <w:rFonts w:eastAsiaTheme="minorHAnsi"/>
                <w:szCs w:val="28"/>
                <w:lang w:eastAsia="en-US"/>
              </w:rPr>
              <w:t>_____________________________________________.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Председатель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аттестационной комиссии           (подпись)          (расшифровка подписи)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Заместитель председателя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аттестационной комиссии           (подпись)          (расшифровка подписи)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Секретарь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аттестационной комиссии           (подпись)          (расшифровка подписи)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Члены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аттестационной комиссии           (подписи)          (расшифровка подписей)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Дата проведения аттестации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 аттестационным листом ознакомился ____________________________</w:t>
            </w:r>
          </w:p>
          <w:p w:rsidR="00DE0A45" w:rsidRDefault="006519F6">
            <w:pPr>
              <w:pStyle w:val="1"/>
              <w:keepNext w:val="0"/>
              <w:widowControl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                           </w:t>
            </w:r>
            <w:r>
              <w:rPr>
                <w:rFonts w:eastAsiaTheme="minorHAnsi"/>
                <w:szCs w:val="28"/>
                <w:lang w:val="ru-RU" w:eastAsia="en-US"/>
              </w:rPr>
              <w:t xml:space="preserve">       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(подпись муниципального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служащего,дата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DE0A45" w:rsidRDefault="00DE0A45">
            <w:pPr>
              <w:pStyle w:val="1"/>
              <w:keepNext w:val="0"/>
              <w:widowControl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tbl>
            <w:tblPr>
              <w:tblW w:w="907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E0A45" w:rsidRPr="009B0DC9">
              <w:tc>
                <w:tcPr>
                  <w:tcW w:w="9070" w:type="dxa"/>
                </w:tcPr>
                <w:p w:rsidR="00DE0A45" w:rsidRPr="009B0DC9" w:rsidRDefault="006519F6" w:rsidP="006519F6">
                  <w:pPr>
                    <w:widowControl w:val="0"/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>(</w:t>
                  </w:r>
                  <w:r w:rsidRPr="009B0DC9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место для печати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9B0DC9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органа местного</w:t>
                  </w:r>
                  <w:r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9B0DC9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самоуправления)</w:t>
                  </w:r>
                  <w:bookmarkStart w:id="1" w:name="Par100"/>
                  <w:bookmarkEnd w:id="1"/>
                </w:p>
              </w:tc>
            </w:tr>
          </w:tbl>
          <w:p w:rsidR="00DE0A45" w:rsidRDefault="00DE0A45">
            <w:pPr>
              <w:widowControl w:val="0"/>
              <w:tabs>
                <w:tab w:val="left" w:pos="2765"/>
              </w:tabs>
              <w:spacing w:after="360"/>
              <w:ind w:left="497" w:right="497"/>
              <w:jc w:val="center"/>
              <w:rPr>
                <w:b/>
                <w:szCs w:val="28"/>
              </w:rPr>
            </w:pPr>
          </w:p>
        </w:tc>
      </w:tr>
    </w:tbl>
    <w:p w:rsidR="00DE0A45" w:rsidRDefault="00DE0A45" w:rsidP="009B0DC9">
      <w:pPr>
        <w:jc w:val="both"/>
        <w:rPr>
          <w:sz w:val="20"/>
        </w:rPr>
      </w:pPr>
    </w:p>
    <w:sectPr w:rsidR="00DE0A45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6C9A"/>
    <w:multiLevelType w:val="multilevel"/>
    <w:tmpl w:val="3304ABDE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>
    <w:nsid w:val="3EFA3FE2"/>
    <w:multiLevelType w:val="multilevel"/>
    <w:tmpl w:val="E0AE061A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0" w:hanging="180"/>
      </w:pPr>
    </w:lvl>
  </w:abstractNum>
  <w:abstractNum w:abstractNumId="2">
    <w:nsid w:val="78B17D57"/>
    <w:multiLevelType w:val="multilevel"/>
    <w:tmpl w:val="9CEA66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45"/>
    <w:rsid w:val="00181DE4"/>
    <w:rsid w:val="006519F6"/>
    <w:rsid w:val="009B0DC9"/>
    <w:rsid w:val="00BC419A"/>
    <w:rsid w:val="00D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C27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ВК1"/>
    <w:basedOn w:val="a4"/>
    <w:qFormat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072DA4"/>
    <w:pPr>
      <w:tabs>
        <w:tab w:val="center" w:pos="4677"/>
        <w:tab w:val="right" w:pos="9355"/>
      </w:tabs>
    </w:pPr>
  </w:style>
  <w:style w:type="paragraph" w:customStyle="1" w:styleId="Iioaioo">
    <w:name w:val="Ii oaio?o"/>
    <w:basedOn w:val="a"/>
    <w:uiPriority w:val="99"/>
    <w:qFormat/>
    <w:rsid w:val="00072DA4"/>
    <w:pPr>
      <w:keepNext/>
      <w:keepLines/>
      <w:spacing w:before="240" w:after="240"/>
      <w:jc w:val="center"/>
    </w:pPr>
    <w:rPr>
      <w:b/>
    </w:rPr>
  </w:style>
  <w:style w:type="paragraph" w:styleId="a6">
    <w:name w:val="footer"/>
    <w:basedOn w:val="a"/>
    <w:link w:val="a5"/>
    <w:uiPriority w:val="99"/>
    <w:unhideWhenUsed/>
    <w:rsid w:val="0005163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C27C4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E7439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2E57D0"/>
    <w:pPr>
      <w:suppressLineNumbers/>
    </w:pPr>
    <w:rPr>
      <w:lang w:eastAsia="ar-SA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39"/>
    <w:rsid w:val="0005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0516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C27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ВК1"/>
    <w:basedOn w:val="a4"/>
    <w:qFormat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072DA4"/>
    <w:pPr>
      <w:tabs>
        <w:tab w:val="center" w:pos="4677"/>
        <w:tab w:val="right" w:pos="9355"/>
      </w:tabs>
    </w:pPr>
  </w:style>
  <w:style w:type="paragraph" w:customStyle="1" w:styleId="Iioaioo">
    <w:name w:val="Ii oaio?o"/>
    <w:basedOn w:val="a"/>
    <w:uiPriority w:val="99"/>
    <w:qFormat/>
    <w:rsid w:val="00072DA4"/>
    <w:pPr>
      <w:keepNext/>
      <w:keepLines/>
      <w:spacing w:before="240" w:after="240"/>
      <w:jc w:val="center"/>
    </w:pPr>
    <w:rPr>
      <w:b/>
    </w:rPr>
  </w:style>
  <w:style w:type="paragraph" w:styleId="a6">
    <w:name w:val="footer"/>
    <w:basedOn w:val="a"/>
    <w:link w:val="a5"/>
    <w:uiPriority w:val="99"/>
    <w:unhideWhenUsed/>
    <w:rsid w:val="0005163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C27C4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E7439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2E57D0"/>
    <w:pPr>
      <w:suppressLineNumbers/>
    </w:pPr>
    <w:rPr>
      <w:lang w:eastAsia="ar-SA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39"/>
    <w:rsid w:val="0005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71A3037B750F40779410AEBC62CED0BF27390E144A6BED01816D69666A1F7C1BEBA35964B8AB5CE76007FF5F7259CB6jCN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B71A3037B750F407795F07FDAA70E40FFA2894E443AEE18B451081C936A7A293FEE46CC606C1B8CB611C7FF3jENAM" TargetMode="External"/><Relationship Id="rId12" Type="http://schemas.openxmlformats.org/officeDocument/2006/relationships/hyperlink" Target="consultantplus://offline/ref=0C8B5AB955B53D2368DD3CB250BE286B822E97261C7A72A67887230B53583998A5297216C629EF7E499440CD9940B5CA65D88B261022CFA7B234258Eh7P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8B5AB955B53D2368DD22BF46D274628626CC22197D7AF223D3255C0C083FCDE5697443856DE37A419F149BD51EEC9A28938623073ECFA1hAPF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B71A3037B750F40779410AEBC62CED0BF27390E24CA3B5D41616D69666A1F7C1BEBA35844BD2B9CF7F1E7EF1E273CDF09E29F93D339361EF42B7EEj6N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B71A3037B750F40779410AEBC62CED0BF27390E144A6B5D01116D69666A1F7C1BEBA35844BD2B9CF7F1E78F9E273CDF09E29F93D339361EF42B7EEj6N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F26B-F036-4FFB-A7BC-C4E3BDAF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12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dc:description/>
  <cp:lastModifiedBy>Дума-юрист</cp:lastModifiedBy>
  <cp:revision>25</cp:revision>
  <cp:lastPrinted>2022-02-04T07:34:00Z</cp:lastPrinted>
  <dcterms:created xsi:type="dcterms:W3CDTF">2022-10-27T08:48:00Z</dcterms:created>
  <dcterms:modified xsi:type="dcterms:W3CDTF">2023-05-03T13:12:00Z</dcterms:modified>
  <dc:language>ru-RU</dc:language>
</cp:coreProperties>
</file>