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356"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1814"/>
        <w:gridCol w:w="1814"/>
        <w:gridCol w:w="1815"/>
        <w:gridCol w:w="1814"/>
        <w:gridCol w:w="2099"/>
      </w:tblGrid>
      <w:tr>
        <w:trPr>
          <w:trHeight w:val="2698" w:hRule="exact"/>
        </w:trPr>
        <w:tc>
          <w:tcPr>
            <w:tcW w:w="9356" w:type="dxa"/>
            <w:gridSpan w:val="5"/>
            <w:tcBorders/>
          </w:tcPr>
          <w:p>
            <w:pPr>
              <w:pStyle w:val="Iioaioo"/>
              <w:keepLines w:val="false"/>
              <w:widowControl w:val="false"/>
              <w:tabs>
                <w:tab w:val="clear" w:pos="708"/>
                <w:tab w:val="left" w:pos="2977" w:leader="none"/>
              </w:tabs>
              <w:spacing w:before="0" w:after="0"/>
              <w:rPr>
                <w:szCs w:val="28"/>
              </w:rPr>
            </w:pPr>
            <w:r>
              <mc:AlternateContent>
                <mc:Choice Requires="wps">
                  <w:drawing>
                    <wp:anchor behindDoc="0" distT="0" distB="0" distL="0" distR="0" simplePos="0" locked="0" layoutInCell="1" allowOverlap="1" relativeHeight="2" wp14:anchorId="23F9E2AF">
                      <wp:simplePos x="0" y="0"/>
                      <wp:positionH relativeFrom="column">
                        <wp:posOffset>3538855</wp:posOffset>
                      </wp:positionH>
                      <wp:positionV relativeFrom="paragraph">
                        <wp:posOffset>-504190</wp:posOffset>
                      </wp:positionV>
                      <wp:extent cx="2286000" cy="45085"/>
                      <wp:effectExtent l="0" t="0" r="0" b="0"/>
                      <wp:wrapNone/>
                      <wp:docPr id="1" name="Надпись 3"/>
                      <a:graphic xmlns:a="http://schemas.openxmlformats.org/drawingml/2006/main">
                        <a:graphicData uri="http://schemas.microsoft.com/office/word/2010/wordprocessingShape">
                          <wps:wsp>
                            <wps:cNvSpPr/>
                            <wps:spPr>
                              <a:xfrm flipV="1">
                                <a:off x="0" y="0"/>
                                <a:ext cx="2286000" cy="45000"/>
                              </a:xfrm>
                              <a:prstGeom prst="rect">
                                <a:avLst/>
                              </a:prstGeom>
                              <a:solidFill>
                                <a:srgbClr val="ffffff"/>
                              </a:solidFill>
                              <a:ln w="0">
                                <a:noFill/>
                              </a:ln>
                            </wps:spPr>
                            <wps:style>
                              <a:lnRef idx="0"/>
                              <a:fillRef idx="0"/>
                              <a:effectRef idx="0"/>
                              <a:fontRef idx="minor"/>
                            </wps:style>
                            <wps:txbx>
                              <w:txbxContent>
                                <w:p>
                                  <w:pPr>
                                    <w:pStyle w:val="Style24"/>
                                    <w:widowControl w:val="false"/>
                                    <w:rPr>
                                      <w:szCs w:val="28"/>
                                    </w:rPr>
                                  </w:pPr>
                                  <w:r>
                                    <w:rPr/>
                                  </w:r>
                                </w:p>
                              </w:txbxContent>
                            </wps:txbx>
                            <wps:bodyPr tIns="0" bIns="0" anchor="t" upright="1">
                              <a:noAutofit/>
                            </wps:bodyPr>
                          </wps:wsp>
                        </a:graphicData>
                      </a:graphic>
                    </wp:anchor>
                  </w:drawing>
                </mc:Choice>
                <mc:Fallback>
                  <w:pict>
                    <v:rect id="shape_0" ID="Надпись 3" path="m0,0l-2147483645,0l-2147483645,-2147483646l0,-2147483646xe" fillcolor="white" stroked="f" o:allowincell="f" style="position:absolute;margin-left:278.65pt;margin-top:-39.75pt;width:179.95pt;height:3.5pt;flip:y;mso-wrap-style:none;v-text-anchor:middle" wp14:anchorId="23F9E2AF">
                      <v:fill o:detectmouseclick="t" type="solid" color2="black"/>
                      <v:stroke color="#3465a4" joinstyle="round" endcap="flat"/>
                      <v:textbox>
                        <w:txbxContent>
                          <w:p>
                            <w:pPr>
                              <w:pStyle w:val="Style24"/>
                              <w:widowControl w:val="false"/>
                              <w:rPr>
                                <w:szCs w:val="28"/>
                              </w:rPr>
                            </w:pPr>
                            <w:r>
                              <w:rPr/>
                            </w:r>
                          </w:p>
                        </w:txbxContent>
                      </v:textbox>
                      <w10:wrap type="none"/>
                    </v:rect>
                  </w:pict>
                </mc:Fallback>
              </mc:AlternateContent>
            </w:r>
            <w:r>
              <w:rPr>
                <w:szCs w:val="28"/>
              </w:rPr>
              <w:t>ДУМА</w:t>
            </w:r>
          </w:p>
          <w:p>
            <w:pPr>
              <w:pStyle w:val="Iioaioo"/>
              <w:keepLines w:val="false"/>
              <w:widowControl w:val="false"/>
              <w:tabs>
                <w:tab w:val="clear" w:pos="708"/>
                <w:tab w:val="left" w:pos="2977" w:leader="none"/>
              </w:tabs>
              <w:spacing w:before="0" w:after="0"/>
              <w:rPr>
                <w:szCs w:val="28"/>
              </w:rPr>
            </w:pPr>
            <w:r>
              <w:rPr>
                <w:szCs w:val="28"/>
              </w:rPr>
              <w:t>МУРАШИНСКОГО МУНИЦИПАЛЬНОГО ОКРУГА</w:t>
            </w:r>
          </w:p>
          <w:p>
            <w:pPr>
              <w:pStyle w:val="Iioaioo"/>
              <w:keepLines w:val="false"/>
              <w:widowControl w:val="false"/>
              <w:tabs>
                <w:tab w:val="clear" w:pos="708"/>
                <w:tab w:val="left" w:pos="2977" w:leader="none"/>
              </w:tabs>
              <w:spacing w:before="0" w:after="480"/>
              <w:rPr>
                <w:szCs w:val="28"/>
              </w:rPr>
            </w:pPr>
            <w:r>
              <w:rPr>
                <w:szCs w:val="28"/>
              </w:rPr>
              <w:t>КИРОВСКОЙ ОБЛАСТИ</w:t>
            </w:r>
          </w:p>
          <w:p>
            <w:pPr>
              <w:pStyle w:val="Iioaioo"/>
              <w:keepLines w:val="false"/>
              <w:widowControl w:val="false"/>
              <w:tabs>
                <w:tab w:val="clear" w:pos="708"/>
                <w:tab w:val="left" w:pos="2977" w:leader="none"/>
              </w:tabs>
              <w:spacing w:before="0" w:after="480"/>
              <w:rPr>
                <w:sz w:val="24"/>
                <w:szCs w:val="28"/>
              </w:rPr>
            </w:pPr>
            <w:r>
              <w:rPr>
                <w:sz w:val="24"/>
                <w:szCs w:val="28"/>
              </w:rPr>
              <w:t>ПЕРВОГО СОЗЫВА</w:t>
            </w:r>
          </w:p>
          <w:p>
            <w:pPr>
              <w:pStyle w:val="12"/>
              <w:widowControl w:val="false"/>
              <w:tabs>
                <w:tab w:val="left" w:pos="2765" w:leader="none"/>
                <w:tab w:val="center" w:pos="4703" w:leader="none"/>
                <w:tab w:val="right" w:pos="9214" w:leader="none"/>
              </w:tabs>
              <w:spacing w:before="0" w:after="360"/>
              <w:ind w:right="0" w:hanging="0"/>
              <w:rPr>
                <w:sz w:val="32"/>
                <w:szCs w:val="32"/>
                <w:lang w:val="ru-RU" w:eastAsia="ru-RU"/>
              </w:rPr>
            </w:pPr>
            <w:r>
              <w:rPr>
                <w:sz w:val="32"/>
                <w:szCs w:val="32"/>
                <w:lang w:val="ru-RU" w:eastAsia="ru-RU"/>
              </w:rPr>
              <w:t>РЕШЕНИЕ</w:t>
            </w:r>
          </w:p>
          <w:p>
            <w:pPr>
              <w:pStyle w:val="1"/>
              <w:widowControl w:val="false"/>
              <w:rPr>
                <w:spacing w:val="180"/>
                <w:sz w:val="44"/>
                <w:lang w:val="ru-RU" w:eastAsia="ru-RU"/>
              </w:rPr>
            </w:pPr>
            <w:r>
              <w:rPr>
                <w:spacing w:val="180"/>
                <w:sz w:val="44"/>
                <w:lang w:val="ru-RU" w:eastAsia="ru-RU"/>
              </w:rPr>
            </w:r>
          </w:p>
        </w:tc>
      </w:tr>
      <w:tr>
        <w:trPr>
          <w:trHeight w:val="283" w:hRule="atLeast"/>
        </w:trPr>
        <w:tc>
          <w:tcPr>
            <w:tcW w:w="1814" w:type="dxa"/>
            <w:tcBorders>
              <w:bottom w:val="single" w:sz="4" w:space="0" w:color="000000"/>
            </w:tcBorders>
          </w:tcPr>
          <w:p>
            <w:pPr>
              <w:pStyle w:val="Normal"/>
              <w:widowControl w:val="false"/>
              <w:tabs>
                <w:tab w:val="clear" w:pos="708"/>
                <w:tab w:val="left" w:pos="2765" w:leader="none"/>
              </w:tabs>
              <w:jc w:val="center"/>
              <w:rPr>
                <w:szCs w:val="28"/>
              </w:rPr>
            </w:pPr>
            <w:r>
              <w:rPr>
                <w:szCs w:val="28"/>
              </w:rPr>
              <w:t>29.11.2023</w:t>
            </w:r>
          </w:p>
        </w:tc>
        <w:tc>
          <w:tcPr>
            <w:tcW w:w="1814" w:type="dxa"/>
            <w:tcBorders/>
          </w:tcPr>
          <w:p>
            <w:pPr>
              <w:pStyle w:val="Normal"/>
              <w:widowControl w:val="false"/>
              <w:tabs>
                <w:tab w:val="clear" w:pos="708"/>
                <w:tab w:val="left" w:pos="2765" w:leader="none"/>
              </w:tabs>
              <w:jc w:val="center"/>
              <w:rPr>
                <w:szCs w:val="28"/>
              </w:rPr>
            </w:pPr>
            <w:r>
              <w:rPr>
                <w:szCs w:val="28"/>
              </w:rPr>
            </w:r>
          </w:p>
        </w:tc>
        <w:tc>
          <w:tcPr>
            <w:tcW w:w="1815" w:type="dxa"/>
            <w:tcBorders/>
          </w:tcPr>
          <w:p>
            <w:pPr>
              <w:pStyle w:val="Normal"/>
              <w:widowControl w:val="false"/>
              <w:tabs>
                <w:tab w:val="clear" w:pos="708"/>
                <w:tab w:val="left" w:pos="2765" w:leader="none"/>
              </w:tabs>
              <w:jc w:val="center"/>
              <w:rPr>
                <w:szCs w:val="28"/>
              </w:rPr>
            </w:pPr>
            <w:r>
              <w:rPr>
                <w:szCs w:val="28"/>
              </w:rPr>
            </w:r>
          </w:p>
        </w:tc>
        <w:tc>
          <w:tcPr>
            <w:tcW w:w="1814" w:type="dxa"/>
            <w:tcBorders/>
          </w:tcPr>
          <w:p>
            <w:pPr>
              <w:pStyle w:val="Normal"/>
              <w:widowControl w:val="false"/>
              <w:tabs>
                <w:tab w:val="clear" w:pos="708"/>
                <w:tab w:val="left" w:pos="2765" w:leader="none"/>
              </w:tabs>
              <w:jc w:val="right"/>
              <w:rPr>
                <w:szCs w:val="28"/>
              </w:rPr>
            </w:pPr>
            <w:r>
              <w:rPr>
                <w:szCs w:val="28"/>
              </w:rPr>
              <w:t>№</w:t>
            </w:r>
          </w:p>
        </w:tc>
        <w:tc>
          <w:tcPr>
            <w:tcW w:w="2099" w:type="dxa"/>
            <w:tcBorders>
              <w:bottom w:val="single" w:sz="4" w:space="0" w:color="000000"/>
            </w:tcBorders>
          </w:tcPr>
          <w:p>
            <w:pPr>
              <w:pStyle w:val="Normal"/>
              <w:widowControl w:val="false"/>
              <w:tabs>
                <w:tab w:val="clear" w:pos="708"/>
                <w:tab w:val="left" w:pos="2765" w:leader="none"/>
              </w:tabs>
              <w:jc w:val="center"/>
              <w:rPr>
                <w:szCs w:val="28"/>
              </w:rPr>
            </w:pPr>
            <w:r>
              <w:rPr>
                <w:szCs w:val="28"/>
              </w:rPr>
              <w:t>25/</w:t>
            </w:r>
            <w:r>
              <w:rPr>
                <w:szCs w:val="28"/>
                <w:lang w:val="en-US"/>
              </w:rPr>
              <w:t>5</w:t>
            </w:r>
          </w:p>
        </w:tc>
      </w:tr>
      <w:tr>
        <w:trPr/>
        <w:tc>
          <w:tcPr>
            <w:tcW w:w="9356" w:type="dxa"/>
            <w:gridSpan w:val="5"/>
            <w:tcBorders/>
          </w:tcPr>
          <w:p>
            <w:pPr>
              <w:pStyle w:val="Normal"/>
              <w:widowControl w:val="false"/>
              <w:tabs>
                <w:tab w:val="clear" w:pos="708"/>
                <w:tab w:val="left" w:pos="2765" w:leader="none"/>
              </w:tabs>
              <w:spacing w:before="0" w:after="360"/>
              <w:jc w:val="center"/>
              <w:rPr>
                <w:szCs w:val="28"/>
              </w:rPr>
            </w:pPr>
            <w:r>
              <w:rPr>
                <w:szCs w:val="28"/>
              </w:rPr>
              <w:t>г. Мураши</w:t>
            </w:r>
          </w:p>
          <w:p>
            <w:pPr>
              <w:pStyle w:val="Normal"/>
              <w:widowControl w:val="false"/>
              <w:tabs>
                <w:tab w:val="clear" w:pos="708"/>
                <w:tab w:val="left" w:pos="2765" w:leader="none"/>
              </w:tabs>
              <w:jc w:val="center"/>
              <w:rPr>
                <w:b/>
                <w:szCs w:val="28"/>
              </w:rPr>
            </w:pPr>
            <w:r>
              <w:rPr>
                <w:b/>
                <w:szCs w:val="28"/>
              </w:rPr>
              <w:t>О внесении изменений в решение Думы Мурашинского муниципального округа от 24.11.2021 № 4/7 «О земельном налоге»</w:t>
            </w:r>
          </w:p>
          <w:p>
            <w:pPr>
              <w:pStyle w:val="Normal"/>
              <w:widowControl w:val="false"/>
              <w:tabs>
                <w:tab w:val="clear" w:pos="708"/>
                <w:tab w:val="left" w:pos="2765" w:leader="none"/>
              </w:tabs>
              <w:jc w:val="center"/>
              <w:rPr>
                <w:b/>
                <w:szCs w:val="28"/>
              </w:rPr>
            </w:pPr>
            <w:r>
              <w:rPr>
                <w:b/>
                <w:szCs w:val="28"/>
              </w:rPr>
            </w:r>
          </w:p>
        </w:tc>
      </w:tr>
    </w:tbl>
    <w:p>
      <w:pPr>
        <w:pStyle w:val="Normal"/>
        <w:ind w:firstLine="709"/>
        <w:jc w:val="both"/>
        <w:rPr/>
      </w:pPr>
      <w:r>
        <w:rPr/>
        <w:t xml:space="preserve">В соответствии с частью 2 статьи 387 Налогового кодекса Российской Федерации, </w:t>
      </w:r>
      <w:hyperlink r:id="rId2">
        <w:r>
          <w:rPr/>
          <w:t>пунктом 3 части 10 статьи 35</w:t>
        </w:r>
      </w:hyperlink>
      <w:r>
        <w:rPr/>
        <w:t xml:space="preserve"> Федерального закона от 06.10.2003 N 131-ФЗ «Об общих принципах организации местного самоуправления в Российской Федерации», пунктом 3 части 1 статьи 27 Устава муниципального образования Мурашинский муниципальный округ Кировской области Дума Мурашинского муниципального округа РЕШИЛА:</w:t>
      </w:r>
    </w:p>
    <w:p>
      <w:pPr>
        <w:pStyle w:val="Normal"/>
        <w:ind w:firstLine="709"/>
        <w:jc w:val="both"/>
        <w:rPr/>
      </w:pPr>
      <w:r>
        <w:rPr/>
        <w:t>1. Внести изменения в решение Думы Мурашинского муниципального округа от 24.11.2021 № 4/7 «О земельном налоге» (с изменениями, внесенными решениями от 30.11.2022 № 16/10, от 01.03.2023 № 19/9), изложив пункт 3 в новой редакции следующего содержания:</w:t>
      </w:r>
    </w:p>
    <w:p>
      <w:pPr>
        <w:pStyle w:val="Normal"/>
        <w:ind w:firstLine="709"/>
        <w:jc w:val="both"/>
        <w:rPr/>
      </w:pPr>
      <w:r>
        <w:rPr/>
        <w:t>«3. Налоговые льготы</w:t>
      </w:r>
    </w:p>
    <w:p>
      <w:pPr>
        <w:pStyle w:val="Normal"/>
        <w:ind w:firstLine="709"/>
        <w:jc w:val="both"/>
        <w:rPr/>
      </w:pPr>
      <w:r>
        <w:rPr/>
        <w:t>3.1. Льготы по уплате земельного налога для отдельных категорий налогоплательщиков устанавливаются статьей 395 Налогового кодекса Российской Федерации, кроме того сумма налога, исчисленная по налоговой ставке, установленной п. 2 настоящего решения, за налоговые периоды 2023 и 2024 годов, снижается на 50 процентов для организаций, осуществляющих основную деятельность по кодам 61 "Деятельность в сфере телекоммуникаций", 62.01 "Разработка компьютерного программного обеспечения", 62.02 "Деятельность консультативная и работы в области компьютерных технологий", 62.02.1 "Деятельность по планированию, проектированию компьютерных систем", 62.02.4 "Деятельность по подготовке компьютерных систем к эксплуатации", 62.03.13 "Деятельность по сопровождению компьютерных систем", 62.09 "Деятельность, связанная с использованием вычислительной техники и информационных технологий, прочая", 63.11.1 "Деятельность по созданию и использованию баз данных и информационных ресурсов" Общероссийского классификатора видов экономической деятельности ОК 029-2014 (КДЕС Ред. 2). Основанием для предоставления льготы является выписка из Единого государственного реестра юридических лиц.</w:t>
      </w:r>
    </w:p>
    <w:p>
      <w:pPr>
        <w:pStyle w:val="Normal"/>
        <w:ind w:firstLine="709"/>
        <w:jc w:val="both"/>
        <w:rPr>
          <w:szCs w:val="28"/>
        </w:rPr>
      </w:pPr>
      <w:r>
        <w:rPr/>
        <w:t xml:space="preserve">3.2. </w:t>
      </w:r>
      <w:r>
        <w:rPr>
          <w:szCs w:val="28"/>
        </w:rPr>
        <w:t>Освобождаются от налогообложения:</w:t>
      </w:r>
    </w:p>
    <w:p>
      <w:pPr>
        <w:pStyle w:val="Normal"/>
        <w:ind w:firstLine="709"/>
        <w:jc w:val="both"/>
        <w:rPr>
          <w:szCs w:val="28"/>
        </w:rPr>
      </w:pPr>
      <w:r>
        <w:rPr>
          <w:szCs w:val="28"/>
        </w:rPr>
        <w:t>1) ветераны и инвалиды ВОВ, а также ветераны и инвалиды боевых действий – в отношении земельных участков, принадлежащих им на праве собственности, праве постоянного (бессрочного) пользования или праве пожизненного наследуемого владения.  Основанием для представления льгот является удостоверение ветерана или инвалида Великой Отечественной войны, ветерана или инвалида боевых действий. Порядок применения налоговых льгот в соответствии с пунктом 10 статьи 396 Налогового кодекса Российской Федерации;</w:t>
      </w:r>
    </w:p>
    <w:p>
      <w:pPr>
        <w:pStyle w:val="Normal"/>
        <w:ind w:firstLine="709"/>
        <w:jc w:val="both"/>
        <w:rPr>
          <w:szCs w:val="28"/>
        </w:rPr>
      </w:pPr>
      <w:r>
        <w:rPr>
          <w:szCs w:val="28"/>
        </w:rPr>
        <w:t>2) органы местного самоуправления – в отношении земельных участков, предоставленных для непосредственного выполнения ими возложенных на них функций и полномочий;</w:t>
      </w:r>
    </w:p>
    <w:p>
      <w:pPr>
        <w:pStyle w:val="Normal"/>
        <w:ind w:firstLine="709"/>
        <w:jc w:val="both"/>
        <w:rPr>
          <w:szCs w:val="28"/>
        </w:rPr>
      </w:pPr>
      <w:r>
        <w:rPr>
          <w:szCs w:val="28"/>
        </w:rPr>
        <w:t>3) муниципальные учреждения Мурашинского муниципального округа Кировской области - в отношении земельных участков, предоставленных для непосредственного выполнения возложенных на эти учреждения функций;</w:t>
      </w:r>
    </w:p>
    <w:p>
      <w:pPr>
        <w:pStyle w:val="Normal"/>
        <w:ind w:firstLine="709"/>
        <w:jc w:val="both"/>
        <w:rPr>
          <w:szCs w:val="28"/>
        </w:rPr>
      </w:pPr>
      <w:r>
        <w:rPr>
          <w:szCs w:val="28"/>
        </w:rPr>
        <w:t>4) физические лица, имеющие трех и более несовершеннолетних детей, признанные малообеспеченными, - в отношении земельных участков, находящихся на праве собственности, праве постоянного (бессрочного) пользования или праве пожизненного наследуемого владения. Основанием для освобождения от налогообложения будет являться удостоверение  многодетной малообеспеченной семьи Кировской области;</w:t>
      </w:r>
    </w:p>
    <w:p>
      <w:pPr>
        <w:pStyle w:val="Normal"/>
        <w:ind w:firstLine="709"/>
        <w:jc w:val="both"/>
        <w:rPr>
          <w:szCs w:val="28"/>
        </w:rPr>
      </w:pPr>
      <w:r>
        <w:rPr>
          <w:szCs w:val="28"/>
        </w:rPr>
        <w:t>5) граждане, призванные в соответствии с Указом Президента Российской Федерации от 21 сентября 2022 года № 647 «Об объявлении частичной мобилизации в Российской Федерации» на военную службу по мобилизации в Вооруженные Силы Российской Федерации и зачисленные в списки личного состава воинских частей;</w:t>
      </w:r>
    </w:p>
    <w:p>
      <w:pPr>
        <w:pStyle w:val="Normal"/>
        <w:ind w:firstLine="709"/>
        <w:jc w:val="both"/>
        <w:rPr>
          <w:szCs w:val="28"/>
        </w:rPr>
      </w:pPr>
      <w:r>
        <w:rPr>
          <w:szCs w:val="28"/>
        </w:rPr>
        <w:t>6) граждане, принимающие (принимавшие) участие в специальной военной операции</w:t>
      </w:r>
      <w:r>
        <w:rPr/>
        <w:t xml:space="preserve"> </w:t>
      </w:r>
      <w:r>
        <w:rPr>
          <w:szCs w:val="28"/>
        </w:rPr>
        <w:t>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 заключившие и выполняющие (выполнившие)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
    <w:p>
      <w:pPr>
        <w:pStyle w:val="Normal"/>
        <w:ind w:firstLine="709"/>
        <w:jc w:val="both"/>
        <w:rPr>
          <w:szCs w:val="28"/>
        </w:rPr>
      </w:pPr>
      <w:r>
        <w:rPr>
          <w:szCs w:val="28"/>
        </w:rPr>
        <w:t>7) граждане, находящиеся (находившиеся) на военной службе в войсках национальной гвардии Российской Федерации, органов внутренних дел Российской Федерации и принимающие (принимавшие) участие в специальной военной операции.».</w:t>
      </w:r>
    </w:p>
    <w:p>
      <w:pPr>
        <w:pStyle w:val="Normal"/>
        <w:ind w:firstLine="709"/>
        <w:jc w:val="both"/>
        <w:rPr/>
      </w:pPr>
      <w:r>
        <w:rPr/>
        <w:t>2. Опубликовать решение в Муниципальном вестнике и разместить на официальном сайте Мурашинского муниципального округа.</w:t>
      </w:r>
    </w:p>
    <w:p>
      <w:pPr>
        <w:pStyle w:val="Normal"/>
        <w:ind w:firstLine="709"/>
        <w:jc w:val="both"/>
        <w:rPr/>
      </w:pPr>
      <w:r>
        <w:rPr/>
        <w:t>3. Настоящее решение вступает в силу в соответствии с действующим законодательством.</w:t>
      </w:r>
    </w:p>
    <w:p>
      <w:pPr>
        <w:pStyle w:val="Normal"/>
        <w:spacing w:lineRule="auto" w:line="360"/>
        <w:ind w:firstLine="709"/>
        <w:jc w:val="both"/>
        <w:rPr>
          <w:sz w:val="20"/>
        </w:rPr>
      </w:pPr>
      <w:r>
        <w:rPr>
          <w:sz w:val="20"/>
        </w:rPr>
      </w:r>
    </w:p>
    <w:p>
      <w:pPr>
        <w:pStyle w:val="Normal"/>
        <w:widowControl w:val="false"/>
        <w:jc w:val="both"/>
        <w:rPr>
          <w:szCs w:val="28"/>
        </w:rPr>
      </w:pPr>
      <w:r>
        <w:rPr>
          <w:szCs w:val="28"/>
        </w:rPr>
        <w:t>Председатель Думы Мурашинского</w:t>
      </w:r>
    </w:p>
    <w:p>
      <w:pPr>
        <w:pStyle w:val="Normal"/>
        <w:widowControl w:val="false"/>
        <w:jc w:val="both"/>
        <w:rPr>
          <w:szCs w:val="28"/>
        </w:rPr>
      </w:pPr>
      <w:r>
        <w:rPr>
          <w:szCs w:val="28"/>
        </w:rPr>
        <w:t>муниципального округа</w:t>
        <w:tab/>
        <w:tab/>
        <w:tab/>
        <w:tab/>
        <w:tab/>
        <w:tab/>
        <w:t xml:space="preserve">       А.А. Лузянин</w:t>
      </w:r>
    </w:p>
    <w:p>
      <w:pPr>
        <w:pStyle w:val="Normal"/>
        <w:widowControl w:val="false"/>
        <w:jc w:val="both"/>
        <w:rPr>
          <w:sz w:val="20"/>
        </w:rPr>
      </w:pPr>
      <w:r>
        <w:rPr>
          <w:sz w:val="20"/>
        </w:rPr>
      </w:r>
    </w:p>
    <w:p>
      <w:pPr>
        <w:pStyle w:val="Normal"/>
        <w:widowControl w:val="false"/>
        <w:jc w:val="both"/>
        <w:rPr>
          <w:szCs w:val="28"/>
        </w:rPr>
      </w:pPr>
      <w:r>
        <w:rPr>
          <w:szCs w:val="28"/>
        </w:rPr>
        <w:t xml:space="preserve">Глава Мурашинского </w:t>
      </w:r>
    </w:p>
    <w:p>
      <w:pPr>
        <w:pStyle w:val="Normal"/>
        <w:widowControl w:val="false"/>
        <w:jc w:val="both"/>
        <w:rPr>
          <w:szCs w:val="28"/>
        </w:rPr>
      </w:pPr>
      <w:r>
        <w:rPr>
          <w:szCs w:val="28"/>
        </w:rPr>
        <w:t>Муниципального округа                                                                  С.И. Рябинин</w:t>
      </w:r>
    </w:p>
    <w:p>
      <w:pPr>
        <w:pStyle w:val="Normal"/>
        <w:widowControl w:val="false"/>
        <w:rPr>
          <w:sz w:val="36"/>
          <w:szCs w:val="36"/>
        </w:rPr>
      </w:pPr>
      <w:r>
        <w:rPr>
          <w:sz w:val="36"/>
          <w:szCs w:val="36"/>
        </w:rPr>
        <w:t>___________________________________________________</w:t>
      </w:r>
      <w:bookmarkStart w:id="0" w:name="_GoBack"/>
      <w:bookmarkEnd w:id="0"/>
    </w:p>
    <w:sectPr>
      <w:type w:val="nextPage"/>
      <w:pgSz w:w="11906" w:h="16838"/>
      <w:pgMar w:left="1418" w:right="851" w:gutter="0" w:header="0" w:top="426"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2da4"/>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1">
    <w:name w:val="Heading 1"/>
    <w:basedOn w:val="Normal"/>
    <w:next w:val="Normal"/>
    <w:link w:val="11"/>
    <w:qFormat/>
    <w:rsid w:val="00072da4"/>
    <w:pPr>
      <w:keepNext w:val="true"/>
      <w:outlineLvl w:val="0"/>
    </w:pPr>
    <w:rPr>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072da4"/>
    <w:rPr>
      <w:rFonts w:ascii="Times New Roman" w:hAnsi="Times New Roman" w:eastAsia="Times New Roman" w:cs="Times New Roman"/>
      <w:sz w:val="28"/>
      <w:szCs w:val="20"/>
      <w:lang w:val="x-none" w:eastAsia="x-none"/>
    </w:rPr>
  </w:style>
  <w:style w:type="character" w:styleId="Style13" w:customStyle="1">
    <w:name w:val="Верхний колонтитул Знак"/>
    <w:basedOn w:val="DefaultParagraphFont"/>
    <w:uiPriority w:val="99"/>
    <w:qFormat/>
    <w:rsid w:val="00072da4"/>
    <w:rPr>
      <w:rFonts w:ascii="Times New Roman" w:hAnsi="Times New Roman" w:eastAsia="Times New Roman" w:cs="Times New Roman"/>
      <w:sz w:val="28"/>
      <w:szCs w:val="20"/>
      <w:lang w:eastAsia="ru-RU"/>
    </w:rPr>
  </w:style>
  <w:style w:type="character" w:styleId="Style14" w:customStyle="1">
    <w:name w:val="Нижний колонтитул Знак"/>
    <w:basedOn w:val="DefaultParagraphFont"/>
    <w:uiPriority w:val="99"/>
    <w:qFormat/>
    <w:rsid w:val="0095152f"/>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BalloonText"/>
    <w:uiPriority w:val="99"/>
    <w:semiHidden/>
    <w:qFormat/>
    <w:rsid w:val="008f3b3c"/>
    <w:rPr>
      <w:rFonts w:ascii="Segoe UI" w:hAnsi="Segoe UI" w:eastAsia="Times New Roman" w:cs="Segoe UI"/>
      <w:sz w:val="18"/>
      <w:szCs w:val="18"/>
      <w:lang w:eastAsia="ru-RU"/>
    </w:rPr>
  </w:style>
  <w:style w:type="character" w:styleId="-">
    <w:name w:val="Hyperlink"/>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12" w:customStyle="1">
    <w:name w:val="ВК1"/>
    <w:basedOn w:val="Style22"/>
    <w:qFormat/>
    <w:rsid w:val="00072da4"/>
    <w:pPr>
      <w:tabs>
        <w:tab w:val="clear" w:pos="4677"/>
        <w:tab w:val="clear" w:pos="9355"/>
        <w:tab w:val="center" w:pos="4703" w:leader="none"/>
        <w:tab w:val="right" w:pos="9214" w:leader="none"/>
      </w:tabs>
      <w:ind w:right="1418" w:hanging="0"/>
      <w:jc w:val="center"/>
    </w:pPr>
    <w:rPr>
      <w:b/>
      <w:sz w:val="26"/>
      <w:lang w:val="x-none" w:eastAsia="x-none"/>
    </w:rPr>
  </w:style>
  <w:style w:type="paragraph" w:styleId="Style21">
    <w:name w:val="Колонтитул"/>
    <w:basedOn w:val="Normal"/>
    <w:qFormat/>
    <w:pPr/>
    <w:rPr/>
  </w:style>
  <w:style w:type="paragraph" w:styleId="Style22">
    <w:name w:val="Header"/>
    <w:basedOn w:val="Normal"/>
    <w:link w:val="Style13"/>
    <w:uiPriority w:val="99"/>
    <w:unhideWhenUsed/>
    <w:rsid w:val="00072da4"/>
    <w:pPr>
      <w:tabs>
        <w:tab w:val="clear" w:pos="708"/>
        <w:tab w:val="center" w:pos="4677" w:leader="none"/>
        <w:tab w:val="right" w:pos="9355" w:leader="none"/>
      </w:tabs>
    </w:pPr>
    <w:rPr/>
  </w:style>
  <w:style w:type="paragraph" w:styleId="Iioaioo" w:customStyle="1">
    <w:name w:val="Ii oaio?o"/>
    <w:basedOn w:val="Normal"/>
    <w:uiPriority w:val="99"/>
    <w:qFormat/>
    <w:rsid w:val="00072da4"/>
    <w:pPr>
      <w:keepNext w:val="true"/>
      <w:keepLines/>
      <w:spacing w:before="240" w:after="240"/>
      <w:jc w:val="center"/>
    </w:pPr>
    <w:rPr>
      <w:b/>
    </w:rPr>
  </w:style>
  <w:style w:type="paragraph" w:styleId="Style23">
    <w:name w:val="Footer"/>
    <w:basedOn w:val="Normal"/>
    <w:link w:val="Style14"/>
    <w:uiPriority w:val="99"/>
    <w:unhideWhenUsed/>
    <w:rsid w:val="0095152f"/>
    <w:pPr>
      <w:tabs>
        <w:tab w:val="clear" w:pos="708"/>
        <w:tab w:val="center" w:pos="4677" w:leader="none"/>
        <w:tab w:val="right" w:pos="9355" w:leader="none"/>
      </w:tabs>
    </w:pPr>
    <w:rPr/>
  </w:style>
  <w:style w:type="paragraph" w:styleId="ConsPlusNormal" w:customStyle="1">
    <w:name w:val="ConsPlusNormal"/>
    <w:qFormat/>
    <w:rsid w:val="00793df8"/>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BalloonText">
    <w:name w:val="Balloon Text"/>
    <w:basedOn w:val="Normal"/>
    <w:link w:val="Style15"/>
    <w:uiPriority w:val="99"/>
    <w:semiHidden/>
    <w:unhideWhenUsed/>
    <w:qFormat/>
    <w:rsid w:val="008f3b3c"/>
    <w:pPr/>
    <w:rPr>
      <w:rFonts w:ascii="Segoe UI" w:hAnsi="Segoe UI" w:cs="Segoe UI"/>
      <w:sz w:val="18"/>
      <w:szCs w:val="18"/>
    </w:rPr>
  </w:style>
  <w:style w:type="paragraph" w:styleId="ListParagraph">
    <w:name w:val="List Paragraph"/>
    <w:basedOn w:val="Normal"/>
    <w:uiPriority w:val="34"/>
    <w:qFormat/>
    <w:rsid w:val="00e62b58"/>
    <w:pPr>
      <w:spacing w:before="0" w:after="0"/>
      <w:ind w:left="720" w:hanging="0"/>
      <w:contextualSpacing/>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9515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EE3DF6477CABB4A5494888A6617E561976DC91A2B76A84F7878D47412992AF47BA94FA33E6568B02A330780E892692A8916E6F750EB89B1m6A9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Application>LibreOffice/7.5.6.2$Windows_X86_64 LibreOffice_project/f654817fb68d6d4600d7d2f6b647e47729f55f15</Application>
  <AppVersion>15.0000</AppVersion>
  <Pages>2</Pages>
  <Words>563</Words>
  <Characters>4148</Characters>
  <CharactersWithSpaces>4764</CharactersWithSpaces>
  <Paragraphs>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2023-02-16T06:25:00Z</dcterms:created>
  <dc:creator>LOTUS</dc:creator>
  <dc:description/>
  <dc:language>ru-RU</dc:language>
  <cp:lastModifiedBy/>
  <cp:lastPrinted>2023-11-30T05:39:00Z</cp:lastPrinted>
  <dcterms:modified xsi:type="dcterms:W3CDTF">2023-12-06T16:38:18Z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